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z w:val="32"/>
          <w:szCs w:val="32"/>
        </w:rPr>
        <w:t>纺织与服装工程学院本科生奖学金评定实施细则</w:t>
      </w:r>
    </w:p>
    <w:p>
      <w:pPr>
        <w:widowControl w:val="0"/>
        <w:spacing w:line="360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2021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t>修订）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为构建德智体美劳全面培养的教育体系，引导学生成长为具有优良道德品质、扎实理论基础和创新科研能力的高层次人才，现根据《江苏省财政厅江苏省教育厅关于印发〈江苏省普通高校国家奖学金实施细则（暂行）〉的通知》（苏财教[2007]135号）、《苏州大学全日制本科生奖助学金管理办法（2019修订）》和学校有关通知精神，结合我院实际，特制定《纺织与服装工程学院奖学金评定实施细则》（以下简称《细则》）。</w:t>
      </w:r>
    </w:p>
    <w:p>
      <w:pPr>
        <w:widowControl w:val="0"/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一、奖励和资助对象及标准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1.</w:t>
      </w:r>
      <w:r>
        <w:rPr>
          <w:rFonts w:ascii="仿宋" w:hAnsi="仿宋" w:eastAsia="仿宋" w:cs="仿宋"/>
          <w:sz w:val="28"/>
          <w:szCs w:val="28"/>
        </w:rPr>
        <w:t>国家奖学金用于奖励在校二年级以上（不含二年级）全日制本科学生，奖励标准为每人每年 8000元。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2.</w:t>
      </w:r>
      <w:r>
        <w:rPr>
          <w:rFonts w:ascii="仿宋" w:hAnsi="仿宋" w:eastAsia="仿宋" w:cs="仿宋"/>
          <w:sz w:val="28"/>
          <w:szCs w:val="28"/>
        </w:rPr>
        <w:t>“纺织之光”奖学金用于奖励在校三年级以上（含三年级）全日制本科学生，奖励标准为每人每年8000元。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3.</w:t>
      </w:r>
      <w:r>
        <w:rPr>
          <w:rFonts w:ascii="仿宋" w:hAnsi="仿宋" w:eastAsia="仿宋" w:cs="仿宋"/>
          <w:sz w:val="28"/>
          <w:szCs w:val="28"/>
        </w:rPr>
        <w:t>正雄奖学金用于奖励在校三年级以上（含三年级）全日制本科学生，奖励标准为每人每年5000元。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4.</w:t>
      </w:r>
      <w:r>
        <w:rPr>
          <w:rFonts w:ascii="仿宋" w:hAnsi="仿宋" w:eastAsia="仿宋" w:cs="仿宋"/>
          <w:sz w:val="28"/>
          <w:szCs w:val="28"/>
        </w:rPr>
        <w:t>捷讯励志奖学金用于奖励经贫困生认定的在校全日制本科学生，奖励标准为每人每年5000元。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5.</w:t>
      </w:r>
      <w:r>
        <w:rPr>
          <w:rFonts w:ascii="仿宋" w:hAnsi="仿宋" w:eastAsia="仿宋" w:cs="仿宋"/>
          <w:sz w:val="28"/>
          <w:szCs w:val="28"/>
        </w:rPr>
        <w:t>美麟奖学金用于奖励经贫困生认定的在校三年级以上（含三年级）全日制本科学生，奖励标准为每人每年2000元。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6.苏美达奖学金用于奖励在校三年级全日制本科学生，奖励标准为每人每年6000元。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7.曼汐奖学金用于奖励在校二年级以上（含二年级）</w:t>
      </w:r>
      <w:r>
        <w:rPr>
          <w:rFonts w:ascii="仿宋" w:hAnsi="仿宋" w:eastAsia="仿宋" w:cs="仿宋"/>
          <w:sz w:val="28"/>
          <w:szCs w:val="28"/>
        </w:rPr>
        <w:t>全日制本科学生，奖励标准为每人每年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000元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 w:val="0"/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捐赠类奖学金参评对象不含转专业学生。</w:t>
      </w:r>
      <w:bookmarkStart w:id="0" w:name="_GoBack"/>
      <w:bookmarkEnd w:id="0"/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二、申请本条件</w:t>
      </w:r>
    </w:p>
    <w:p>
      <w:pPr>
        <w:widowControl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（一）本《细则》涉及的所有奖学金申请均需符合以下基本条件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热爱祖国，拥护中国共产党的领导，积极践行社会主义核心价值观，执行党的路线、方针、政策，维护国家利益和尊严；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遵纪守法，诚实守信，以诚待人、以信取人，履约践诺、言行一致，道德品质优异，身心健康；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追求崇高理想，秉持认真刻苦的学习态度，为人正直，作风严谨，成绩优秀；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充满爱心，乐于助人，勇于奉献，努力承担社会工作，积极参加公益活动；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在学生中拥有突出的公信度和代表性，对营造良好的校风有积极作用，起到模范带头作用。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ascii="仿宋" w:hAnsi="仿宋" w:eastAsia="仿宋" w:cs="仿宋"/>
          <w:sz w:val="28"/>
          <w:szCs w:val="28"/>
        </w:rPr>
        <w:t>学习成绩没有不及格（五级评分制考核课程等级在D级以下，百分制考核课程学分绩点在1.0以下）科目。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sz w:val="28"/>
          <w:szCs w:val="28"/>
        </w:rPr>
        <w:t>.相关成果及荣誉界定时间期限为：前一年9月</w:t>
      </w:r>
      <w:r>
        <w:rPr>
          <w:rFonts w:hint="eastAsia" w:ascii="仿宋" w:hAnsi="仿宋" w:eastAsia="仿宋" w:cs="仿宋"/>
          <w:sz w:val="28"/>
          <w:szCs w:val="28"/>
        </w:rPr>
        <w:t>1日</w:t>
      </w:r>
      <w:r>
        <w:rPr>
          <w:rFonts w:ascii="仿宋" w:hAnsi="仿宋" w:eastAsia="仿宋" w:cs="仿宋"/>
          <w:sz w:val="28"/>
          <w:szCs w:val="28"/>
        </w:rPr>
        <w:t>起至评奖</w:t>
      </w:r>
      <w:r>
        <w:rPr>
          <w:rFonts w:hint="eastAsia" w:ascii="仿宋" w:hAnsi="仿宋" w:eastAsia="仿宋" w:cs="仿宋"/>
          <w:sz w:val="28"/>
          <w:szCs w:val="28"/>
        </w:rPr>
        <w:t>当年8月3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"/>
          <w:sz w:val="28"/>
          <w:szCs w:val="28"/>
        </w:rPr>
        <w:t>.志愿时长界定为：评奖当年9月学院事务中心发布的志愿服务时长公示为参评依据。非贫困生校内外青年志愿者活动和社会公益服务满36小时，经贫困生认定的贫困学生校内外青年志愿者活动和社会公益服务满72小时可申请奖学金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ascii="仿宋" w:hAnsi="仿宋" w:eastAsia="仿宋" w:cs="仿宋"/>
          <w:sz w:val="28"/>
          <w:szCs w:val="28"/>
        </w:rPr>
        <w:t>.评奖当学年凡有下列情况之一者，不得申请：①延长学年者；②受到治安处罚、因违纪受到学校或学院纪律处分或其他纪律（党纪、团纪等）处分以及处分未解除者。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（二）国家奖学金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除符合以上基本条件外，仍需符合成绩排名要求。在校期间学习成绩优异，社会实践、创新能力、综合素质等方面特别突出。学生学习成绩优异的量化标准是学习成绩排名在评选范围内位于前10%（含10%），且没有不及格（五级评分制考核课程等级在D级以下，百分制考核课程学分绩点在1.0以下）科目。学生的综合考评成绩排名也必须在评选范围内位于前10%；对于学习成绩和综合考评成绩没有进入前10%，但达到前30%（含30%）的学生，如在其他方面表现非常突出，可申请国家奖学金，但需提交详细的证明材料。其他方面表现非常突出是指在道德风尚、学术研究、学科竞赛、创新发明、社会实践、社会工作、体育竞赛、文艺比赛等某一方面表现特别优秀。</w:t>
      </w:r>
    </w:p>
    <w:p>
      <w:pPr>
        <w:widowControl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（三）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“</w:t>
      </w:r>
      <w:r>
        <w:rPr>
          <w:rFonts w:ascii="仿宋" w:hAnsi="仿宋" w:eastAsia="仿宋" w:cs="仿宋"/>
          <w:b/>
          <w:sz w:val="28"/>
          <w:szCs w:val="28"/>
        </w:rPr>
        <w:t>纺织之光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”</w:t>
      </w:r>
      <w:r>
        <w:rPr>
          <w:rFonts w:ascii="仿宋" w:hAnsi="仿宋" w:eastAsia="仿宋" w:cs="仿宋"/>
          <w:b/>
          <w:sz w:val="28"/>
          <w:szCs w:val="28"/>
        </w:rPr>
        <w:t>奖学金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除符合以上基本条件外，仍需符合成绩排名要求。在校期间学习成绩优异，社会实践、创新能力、综合素质等方面特别突出。学生学习成绩优异的量化标准是学习成绩排名在评选范围内位于前10%（含10%），且没有不及格（五级评分制考核课程等级在D级以下，百分制考核课程学分绩点在1.0以下）科目。学生的综合考评成绩排名也必须在评选范围内位于前10%；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三、奖学金审核和评审机构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学院成立“纺织与服装工程学院奖学金审核小组”，由辅导员、学生骨干代表、学生事务中心负责人、普通同学代表组成，对奖学金申请材料进行审核及分数核算，向学院“纺织与服装工程学院奖学金评审工作组”提交候选人名单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学院成立“纺织与服装工程学院奖学金评审工作组”，由学院领导班子成员、系主任代表、团委书记、学生工作办公室主任及工作人员组成，</w:t>
      </w:r>
      <w:r>
        <w:rPr>
          <w:rFonts w:hint="eastAsia" w:ascii="仿宋" w:hAnsi="仿宋" w:eastAsia="仿宋" w:cs="仿宋"/>
          <w:sz w:val="28"/>
          <w:szCs w:val="28"/>
        </w:rPr>
        <w:t>制</w:t>
      </w:r>
      <w:r>
        <w:rPr>
          <w:rFonts w:ascii="仿宋" w:hAnsi="仿宋" w:eastAsia="仿宋" w:cs="仿宋"/>
          <w:sz w:val="28"/>
          <w:szCs w:val="28"/>
        </w:rPr>
        <w:t>定奖学金评定政策、确定获奖者初评名单、决策重大事项、统筹领导、协调和监督评审工作，并裁决有关申诉事项。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四、评定标准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在满足基本条件的申请人中，按照综合评分由高到低评定。</w:t>
      </w:r>
    </w:p>
    <w:p>
      <w:pPr>
        <w:widowControl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国家奖学金：</w:t>
      </w:r>
      <w:r>
        <w:rPr>
          <w:rFonts w:ascii="仿宋" w:hAnsi="仿宋" w:eastAsia="仿宋" w:cs="仿宋"/>
          <w:sz w:val="28"/>
          <w:szCs w:val="28"/>
        </w:rPr>
        <w:t>综合考核成绩总分=学业成绩+综合表现成绩+科研创新成绩</w:t>
      </w:r>
    </w:p>
    <w:p>
      <w:pPr>
        <w:widowControl w:val="0"/>
        <w:spacing w:line="360" w:lineRule="auto"/>
        <w:ind w:left="561" w:leftChars="267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“纺织之光”奖学金：</w:t>
      </w:r>
      <w:r>
        <w:rPr>
          <w:rFonts w:ascii="仿宋" w:hAnsi="仿宋" w:eastAsia="仿宋" w:cs="仿宋"/>
          <w:sz w:val="28"/>
          <w:szCs w:val="28"/>
        </w:rPr>
        <w:t>综合考核成绩总分=学业成绩+科研创新成绩</w:t>
      </w:r>
    </w:p>
    <w:p>
      <w:pPr>
        <w:widowControl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正雄奖学金：</w:t>
      </w:r>
      <w:r>
        <w:rPr>
          <w:rFonts w:ascii="仿宋" w:hAnsi="仿宋" w:eastAsia="仿宋" w:cs="仿宋"/>
          <w:sz w:val="28"/>
          <w:szCs w:val="28"/>
        </w:rPr>
        <w:t>综合考核成绩总分=学业成绩+综合表现成绩+科研创新成绩</w:t>
      </w:r>
    </w:p>
    <w:p>
      <w:pPr>
        <w:widowControl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捷讯励志奖学金：</w:t>
      </w:r>
      <w:r>
        <w:rPr>
          <w:rFonts w:ascii="仿宋" w:hAnsi="仿宋" w:eastAsia="仿宋" w:cs="仿宋"/>
          <w:sz w:val="28"/>
          <w:szCs w:val="28"/>
        </w:rPr>
        <w:t>综合考核成绩总分=学业成绩+综合表现成绩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美麟奖学金：</w:t>
      </w:r>
      <w:r>
        <w:rPr>
          <w:rFonts w:ascii="仿宋" w:hAnsi="仿宋" w:eastAsia="仿宋" w:cs="仿宋"/>
          <w:sz w:val="28"/>
          <w:szCs w:val="28"/>
        </w:rPr>
        <w:t>综合考核成绩总分=学业成绩+综合表现成绩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苏美达奖学金：</w:t>
      </w:r>
      <w:r>
        <w:rPr>
          <w:rFonts w:hint="eastAsia" w:ascii="仿宋" w:hAnsi="仿宋" w:eastAsia="仿宋" w:cs="仿宋"/>
          <w:sz w:val="28"/>
          <w:szCs w:val="28"/>
        </w:rPr>
        <w:t>综合考核成绩总分=学业成绩+综合表现成绩+科研创新成绩</w:t>
      </w:r>
    </w:p>
    <w:p>
      <w:pPr>
        <w:widowControl w:val="0"/>
        <w:spacing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曼夕奖学金：</w:t>
      </w:r>
      <w:r>
        <w:rPr>
          <w:rFonts w:ascii="仿宋" w:hAnsi="仿宋" w:eastAsia="仿宋" w:cs="仿宋"/>
          <w:sz w:val="28"/>
          <w:szCs w:val="28"/>
        </w:rPr>
        <w:t>综合考核成绩总分=学业成绩+综合表现成绩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其中，学业成绩总分400分；科研创新成绩总分200分，综合表现成绩总分50分。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（一）学业成绩计算标准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大一年级成绩视评奖当年情况而定；大二及以上</w:t>
      </w:r>
      <w:r>
        <w:rPr>
          <w:rFonts w:hint="eastAsia" w:ascii="仿宋" w:hAnsi="仿宋" w:eastAsia="仿宋" w:cs="仿宋"/>
          <w:sz w:val="28"/>
          <w:szCs w:val="28"/>
        </w:rPr>
        <w:t>年度</w:t>
      </w:r>
      <w:r>
        <w:rPr>
          <w:rFonts w:ascii="仿宋" w:hAnsi="仿宋" w:eastAsia="仿宋" w:cs="仿宋"/>
          <w:sz w:val="28"/>
          <w:szCs w:val="28"/>
        </w:rPr>
        <w:t>学业成绩=GPA*100。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（二）综合表现成绩计算标准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综合表现成绩由社会工作、志愿服务和荣誉奖项（奖学金除外）组成，各项累计封顶50分。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135"/>
        <w:gridCol w:w="2125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2181" w:type="pct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分类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负责人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社会工作</w:t>
            </w:r>
            <w:r>
              <w:rPr>
                <w:rFonts w:ascii="仿宋" w:hAnsi="仿宋" w:eastAsia="仿宋" w:cs="仿宋"/>
              </w:rPr>
              <w:br w:type="textWrapping"/>
            </w:r>
            <w:r>
              <w:rPr>
                <w:rFonts w:ascii="仿宋" w:hAnsi="仿宋" w:eastAsia="仿宋" w:cs="仿宋"/>
              </w:rPr>
              <w:t>（任职满一年）</w:t>
            </w:r>
          </w:p>
        </w:tc>
        <w:tc>
          <w:tcPr>
            <w:tcW w:w="1213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校级学生组织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主席团成员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部长、副部长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干事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院级学生组织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主席团成员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部长、副部长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干事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班级学生组织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班长、团支书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12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班委、团支部委员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社区学生组织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学生楼长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宿舍长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</w:rPr>
              <w:t>2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学生党支部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支部副书记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支部委员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学生社团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负责人</w:t>
            </w: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志愿服务</w:t>
            </w: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满</w:t>
            </w:r>
            <w:r>
              <w:rPr>
                <w:rFonts w:ascii="Times New Roman" w:hAnsi="Times New Roman" w:eastAsia="Times New Roman" w:cs="Times New Roman"/>
              </w:rPr>
              <w:t>100</w:t>
            </w:r>
            <w:r>
              <w:rPr>
                <w:rFonts w:ascii="仿宋" w:hAnsi="仿宋" w:eastAsia="仿宋" w:cs="仿宋"/>
              </w:rPr>
              <w:t>小时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满</w:t>
            </w:r>
            <w:r>
              <w:rPr>
                <w:rFonts w:ascii="Times New Roman" w:hAnsi="Times New Roman" w:eastAsia="Times New Roman" w:cs="Times New Roman"/>
              </w:rPr>
              <w:t>120</w:t>
            </w:r>
            <w:r>
              <w:rPr>
                <w:rFonts w:ascii="仿宋" w:hAnsi="仿宋" w:eastAsia="仿宋" w:cs="仿宋"/>
              </w:rPr>
              <w:t>小时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达</w:t>
            </w:r>
            <w:r>
              <w:rPr>
                <w:rFonts w:ascii="Times New Roman" w:hAnsi="Times New Roman" w:eastAsia="Times New Roman" w:cs="Times New Roman"/>
              </w:rPr>
              <w:t>150</w:t>
            </w:r>
            <w:r>
              <w:rPr>
                <w:rFonts w:ascii="仿宋" w:hAnsi="仿宋" w:eastAsia="仿宋" w:cs="仿宋"/>
              </w:rPr>
              <w:t>小时以上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荣誉奖项</w:t>
            </w: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省级以上荣誉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省级荣誉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12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校级荣誉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8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213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院级荣誉</w:t>
            </w:r>
          </w:p>
        </w:tc>
        <w:tc>
          <w:tcPr>
            <w:tcW w:w="1207" w:type="pct"/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612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仿宋" w:hAnsi="仿宋" w:eastAsia="仿宋" w:cs="仿宋"/>
              </w:rPr>
              <w:t>分</w:t>
            </w:r>
          </w:p>
        </w:tc>
      </w:tr>
    </w:tbl>
    <w:p>
      <w:pPr>
        <w:widowControl w:val="0"/>
        <w:spacing w:line="360" w:lineRule="auto"/>
        <w:ind w:firstLine="420" w:firstLineChars="200"/>
        <w:rPr>
          <w:rFonts w:ascii="Times New Roman"/>
        </w:rPr>
      </w:pP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（三）科研创新成果计算标准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科研创新成绩由科研成果、创新性比赛和科研创新项目组成，各项累计封顶200分。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所有学术成果必须见刊，仅仅受理或录用通知一律不算入；所有比赛结果以获奖证书为准；所有项目以结项证书为准，仅仅立项一律不算入；所有学术成果不得重复使用。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根据获奖证书的颁发单位界定比赛级别，比赛参照：中国高等教育学《全国普通高校学科竞赛</w:t>
      </w:r>
      <w:r>
        <w:rPr>
          <w:rFonts w:hint="eastAsia" w:ascii="仿宋" w:hAnsi="仿宋" w:eastAsia="仿宋" w:cs="仿宋"/>
          <w:sz w:val="28"/>
          <w:szCs w:val="28"/>
        </w:rPr>
        <w:t>大学生竞赛</w:t>
      </w:r>
      <w:r>
        <w:rPr>
          <w:rFonts w:ascii="仿宋" w:hAnsi="仿宋" w:eastAsia="仿宋" w:cs="仿宋"/>
          <w:sz w:val="28"/>
          <w:szCs w:val="28"/>
        </w:rPr>
        <w:t>排行榜</w:t>
      </w:r>
      <w:r>
        <w:rPr>
          <w:rFonts w:hint="eastAsia" w:ascii="仿宋" w:hAnsi="仿宋" w:eastAsia="仿宋" w:cs="仿宋"/>
          <w:sz w:val="28"/>
          <w:szCs w:val="28"/>
        </w:rPr>
        <w:t>发布</w:t>
      </w:r>
      <w:r>
        <w:rPr>
          <w:rFonts w:ascii="仿宋" w:hAnsi="仿宋" w:eastAsia="仿宋" w:cs="仿宋"/>
          <w:sz w:val="28"/>
          <w:szCs w:val="28"/>
        </w:rPr>
        <w:t>》和学院认定的比赛。不设置特等奖的比赛，最高奖等同于特等奖，其他奖项依次类推。优胜奖等低于</w:t>
      </w:r>
      <w:r>
        <w:rPr>
          <w:rFonts w:hint="eastAsia" w:ascii="仿宋" w:hAnsi="仿宋" w:eastAsia="仿宋" w:cs="仿宋"/>
          <w:sz w:val="28"/>
          <w:szCs w:val="28"/>
        </w:rPr>
        <w:t>三等奖</w:t>
      </w:r>
      <w:r>
        <w:rPr>
          <w:rFonts w:ascii="仿宋" w:hAnsi="仿宋" w:eastAsia="仿宋" w:cs="仿宋"/>
          <w:sz w:val="28"/>
          <w:szCs w:val="28"/>
        </w:rPr>
        <w:t>的奖项，以同级别比赛</w:t>
      </w:r>
      <w:r>
        <w:rPr>
          <w:rFonts w:hint="eastAsia" w:ascii="仿宋" w:hAnsi="仿宋" w:eastAsia="仿宋" w:cs="仿宋"/>
          <w:sz w:val="28"/>
          <w:szCs w:val="28"/>
        </w:rPr>
        <w:t>三等奖</w:t>
      </w:r>
      <w:r>
        <w:rPr>
          <w:rFonts w:ascii="仿宋" w:hAnsi="仿宋" w:eastAsia="仿宋" w:cs="仿宋"/>
          <w:sz w:val="28"/>
          <w:szCs w:val="28"/>
        </w:rPr>
        <w:t>积分一半计算。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1.科研成果积分分值如下</w:t>
      </w:r>
      <w:r>
        <w:rPr>
          <w:rFonts w:ascii="仿宋" w:hAnsi="仿宋" w:eastAsia="仿宋" w:cs="仿宋"/>
          <w:sz w:val="28"/>
          <w:szCs w:val="28"/>
        </w:rPr>
        <w:t>：</w:t>
      </w:r>
    </w:p>
    <w:tbl>
      <w:tblPr>
        <w:tblStyle w:val="6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2339"/>
        <w:gridCol w:w="2057"/>
        <w:gridCol w:w="2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类别</w:t>
            </w: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内容</w:t>
            </w:r>
          </w:p>
        </w:tc>
        <w:tc>
          <w:tcPr>
            <w:tcW w:w="2420" w:type="pct"/>
            <w:gridSpan w:val="2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分数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高质量文章</w:t>
            </w: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SCI</w:t>
            </w:r>
            <w:r>
              <w:rPr>
                <w:rFonts w:ascii="仿宋" w:hAnsi="仿宋" w:eastAsia="仿宋" w:cs="仿宋"/>
              </w:rPr>
              <w:t>论文、</w:t>
            </w:r>
            <w:r>
              <w:rPr>
                <w:rFonts w:ascii="Times New Roman" w:hAnsi="Times New Roman" w:eastAsia="Times New Roman" w:cs="Times New Roman"/>
              </w:rPr>
              <w:t>EI</w:t>
            </w:r>
            <w:r>
              <w:rPr>
                <w:rFonts w:ascii="仿宋" w:hAnsi="仿宋" w:eastAsia="仿宋" w:cs="仿宋"/>
              </w:rPr>
              <w:t>源刊论文、中文核心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期刊论文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251" w:type="pct"/>
            <w:vMerge w:val="restart"/>
            <w:tcBorders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科研成果第一作者</w:t>
            </w:r>
            <w:r>
              <w:rPr>
                <w:rFonts w:ascii="Times New Roman" w:hAnsi="Times New Roman" w:eastAsia="Times New Roman" w:cs="Times New Roman"/>
              </w:rPr>
              <w:t>100%</w:t>
            </w:r>
            <w:r>
              <w:rPr>
                <w:rFonts w:ascii="仿宋" w:hAnsi="仿宋" w:eastAsia="仿宋" w:cs="仿宋"/>
              </w:rPr>
              <w:t>计算，第二作者以</w:t>
            </w:r>
            <w:r>
              <w:rPr>
                <w:rFonts w:ascii="Times New Roman" w:hAnsi="Times New Roman" w:eastAsia="Times New Roman" w:cs="Times New Roman"/>
              </w:rPr>
              <w:t>50%</w:t>
            </w:r>
            <w:r>
              <w:rPr>
                <w:rFonts w:ascii="仿宋" w:hAnsi="仿宋" w:eastAsia="仿宋" w:cs="仿宋"/>
              </w:rPr>
              <w:t>计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算，第三作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者以</w:t>
            </w:r>
            <w:r>
              <w:rPr>
                <w:rFonts w:ascii="Times New Roman" w:hAnsi="Times New Roman" w:eastAsia="Times New Roman" w:cs="Times New Roman"/>
              </w:rPr>
              <w:t>25%</w:t>
            </w:r>
            <w:r>
              <w:rPr>
                <w:rFonts w:ascii="仿宋" w:hAnsi="仿宋" w:eastAsia="仿宋" w:cs="仿宋"/>
              </w:rPr>
              <w:t>计算，其余以</w:t>
            </w:r>
            <w:r>
              <w:rPr>
                <w:rFonts w:ascii="Times New Roman" w:hAnsi="Times New Roman" w:eastAsia="Times New Roman" w:cs="Times New Roman"/>
              </w:rPr>
              <w:t>10%</w:t>
            </w:r>
            <w:r>
              <w:rPr>
                <w:rFonts w:ascii="仿宋" w:hAnsi="仿宋" w:eastAsia="仿宋" w:cs="仿宋"/>
              </w:rPr>
              <w:t>计算。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普通文章</w:t>
            </w: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省级期刊论文及会议论文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restart"/>
            <w:tcBorders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  <w:p>
            <w:pPr>
              <w:widowControl w:val="0"/>
              <w:jc w:val="center"/>
              <w:rPr>
                <w:rFonts w:ascii="Times New Roman"/>
              </w:rPr>
            </w:pPr>
          </w:p>
          <w:p>
            <w:pPr>
              <w:widowControl w:val="0"/>
              <w:jc w:val="center"/>
              <w:rPr>
                <w:rFonts w:ascii="Times New Roman"/>
              </w:rPr>
            </w:pPr>
          </w:p>
          <w:p>
            <w:pPr>
              <w:widowControl w:val="0"/>
              <w:jc w:val="center"/>
              <w:rPr>
                <w:rFonts w:ascii="Times New Roman"/>
              </w:rPr>
            </w:pPr>
          </w:p>
          <w:p>
            <w:pPr>
              <w:widowControl w:val="0"/>
              <w:jc w:val="center"/>
              <w:rPr>
                <w:rFonts w:ascii="Times New Roman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知识产权</w:t>
            </w: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国际发明专利授权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200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国家发明专利授权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100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实用新型专利授权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50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发明专利公开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软件著作权授权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实用新型专利公开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51" w:type="pct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  <w:tc>
          <w:tcPr>
            <w:tcW w:w="132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软件著作权申请</w:t>
            </w:r>
          </w:p>
        </w:tc>
        <w:tc>
          <w:tcPr>
            <w:tcW w:w="116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251" w:type="pct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ascii="仿宋" w:hAnsi="仿宋" w:eastAsia="仿宋" w:cs="仿宋"/>
          <w:sz w:val="28"/>
          <w:szCs w:val="28"/>
        </w:rPr>
      </w:pP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2.创新性比赛情况积分分值如下：</w:t>
      </w:r>
    </w:p>
    <w:tbl>
      <w:tblPr>
        <w:tblStyle w:val="6"/>
        <w:tblW w:w="501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337"/>
        <w:gridCol w:w="1341"/>
        <w:gridCol w:w="1341"/>
        <w:gridCol w:w="1341"/>
        <w:gridCol w:w="1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34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类别</w:t>
            </w:r>
          </w:p>
        </w:tc>
        <w:tc>
          <w:tcPr>
            <w:tcW w:w="75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特等奖</w:t>
            </w:r>
            <w:r>
              <w:rPr>
                <w:rFonts w:ascii="仿宋" w:hAnsi="仿宋" w:eastAsia="仿宋" w:cs="仿宋"/>
                <w:b/>
                <w:bCs/>
              </w:rPr>
              <w:br w:type="textWrapping"/>
            </w:r>
            <w:r>
              <w:rPr>
                <w:rFonts w:ascii="仿宋" w:hAnsi="仿宋" w:eastAsia="仿宋" w:cs="仿宋"/>
                <w:b/>
                <w:bCs/>
              </w:rPr>
              <w:t>（金奖）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一等奖</w:t>
            </w:r>
            <w:r>
              <w:rPr>
                <w:rFonts w:ascii="仿宋" w:hAnsi="仿宋" w:eastAsia="仿宋" w:cs="仿宋"/>
                <w:b/>
                <w:bCs/>
              </w:rPr>
              <w:br w:type="textWrapping"/>
            </w:r>
            <w:r>
              <w:rPr>
                <w:rFonts w:ascii="仿宋" w:hAnsi="仿宋" w:eastAsia="仿宋" w:cs="仿宋"/>
                <w:b/>
                <w:bCs/>
              </w:rPr>
              <w:t>（银奖）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二等奖</w:t>
            </w:r>
            <w:r>
              <w:rPr>
                <w:rFonts w:ascii="仿宋" w:hAnsi="仿宋" w:eastAsia="仿宋" w:cs="仿宋"/>
                <w:b/>
                <w:bCs/>
              </w:rPr>
              <w:br w:type="textWrapping"/>
            </w:r>
            <w:r>
              <w:rPr>
                <w:rFonts w:ascii="仿宋" w:hAnsi="仿宋" w:eastAsia="仿宋" w:cs="仿宋"/>
                <w:b/>
                <w:bCs/>
              </w:rPr>
              <w:t>（铜奖）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三等奖</w:t>
            </w:r>
          </w:p>
        </w:tc>
        <w:tc>
          <w:tcPr>
            <w:tcW w:w="1130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34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国家级比赛</w:t>
            </w:r>
          </w:p>
        </w:tc>
        <w:tc>
          <w:tcPr>
            <w:tcW w:w="75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120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80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130" w:type="pct"/>
            <w:vMerge w:val="restart"/>
            <w:tcBorders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以获奖证书或官方文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件排序为准。第一完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成人</w:t>
            </w:r>
            <w:r>
              <w:rPr>
                <w:rFonts w:ascii="Times New Roman" w:hAnsi="Times New Roman" w:eastAsia="Times New Roman" w:cs="Times New Roman"/>
              </w:rPr>
              <w:t>100%</w:t>
            </w:r>
            <w:r>
              <w:rPr>
                <w:rFonts w:ascii="仿宋" w:hAnsi="仿宋" w:eastAsia="仿宋" w:cs="仿宋"/>
              </w:rPr>
              <w:t>计算，第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二完成人</w:t>
            </w:r>
            <w:r>
              <w:rPr>
                <w:rFonts w:ascii="Times New Roman" w:hAnsi="Times New Roman" w:eastAsia="Times New Roman" w:cs="Times New Roman"/>
              </w:rPr>
              <w:t>60%</w:t>
            </w:r>
            <w:r>
              <w:rPr>
                <w:rFonts w:ascii="仿宋" w:hAnsi="仿宋" w:eastAsia="仿宋" w:cs="仿宋"/>
              </w:rPr>
              <w:t>计算，第三完成人</w:t>
            </w:r>
            <w:r>
              <w:rPr>
                <w:rFonts w:ascii="Times New Roman" w:hAnsi="Times New Roman" w:eastAsia="Times New Roman" w:cs="Times New Roman"/>
              </w:rPr>
              <w:t>50%</w:t>
            </w:r>
            <w:r>
              <w:rPr>
                <w:rFonts w:ascii="仿宋" w:hAnsi="仿宋" w:eastAsia="仿宋" w:cs="仿宋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34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省部级比赛</w:t>
            </w:r>
          </w:p>
        </w:tc>
        <w:tc>
          <w:tcPr>
            <w:tcW w:w="75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130" w:type="pct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34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厅级比赛</w:t>
            </w:r>
          </w:p>
        </w:tc>
        <w:tc>
          <w:tcPr>
            <w:tcW w:w="75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130" w:type="pct"/>
            <w:vMerge w:val="restart"/>
            <w:tcBorders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算，第四完成人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40%</w:t>
            </w:r>
          </w:p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仿宋" w:hAnsi="仿宋" w:eastAsia="仿宋" w:cs="仿宋"/>
              </w:rPr>
              <w:t>计算，其他人</w:t>
            </w:r>
            <w:r>
              <w:rPr>
                <w:rFonts w:ascii="Times New Roman" w:hAnsi="Times New Roman" w:eastAsia="Times New Roman" w:cs="Times New Roman"/>
              </w:rPr>
              <w:t>20%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计算。其中：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仿宋" w:hAnsi="仿宋" w:eastAsia="仿宋" w:cs="仿宋"/>
              </w:rPr>
              <w:t>挑战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杯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rPr>
                <w:rFonts w:ascii="仿宋" w:hAnsi="仿宋" w:eastAsia="仿宋" w:cs="仿宋"/>
              </w:rPr>
              <w:t>大学生课外学术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作品竞赛省赛及国赛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项目成员全部视作共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同第一完成人。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34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校级比赛</w:t>
            </w:r>
          </w:p>
        </w:tc>
        <w:tc>
          <w:tcPr>
            <w:tcW w:w="75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12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13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34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院级比赛</w:t>
            </w:r>
          </w:p>
        </w:tc>
        <w:tc>
          <w:tcPr>
            <w:tcW w:w="75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759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130" w:type="pct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jc w:val="center"/>
              <w:rPr>
                <w:rFonts w:ascii="Times New Roman"/>
              </w:rPr>
            </w:pPr>
          </w:p>
        </w:tc>
      </w:tr>
    </w:tbl>
    <w:p>
      <w:pPr>
        <w:widowControl w:val="0"/>
        <w:spacing w:line="360" w:lineRule="auto"/>
        <w:ind w:firstLine="420" w:firstLineChars="200"/>
        <w:rPr>
          <w:rFonts w:ascii="Times New Roma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同一年度的同系列比赛，不累计积分，以最高分值</w:t>
      </w:r>
      <w:r>
        <w:rPr>
          <w:rFonts w:hint="eastAsia" w:ascii="仿宋" w:hAnsi="仿宋" w:eastAsia="仿宋" w:cs="仿宋"/>
          <w:sz w:val="28"/>
          <w:szCs w:val="28"/>
        </w:rPr>
        <w:t>计</w:t>
      </w:r>
      <w:r>
        <w:rPr>
          <w:rFonts w:ascii="仿宋" w:hAnsi="仿宋" w:eastAsia="仿宋" w:cs="仿宋"/>
          <w:sz w:val="28"/>
          <w:szCs w:val="28"/>
        </w:rPr>
        <w:t>算。</w:t>
      </w:r>
      <w:r>
        <w:rPr>
          <w:rFonts w:hint="eastAsia" w:ascii="仿宋" w:hAnsi="仿宋" w:eastAsia="仿宋" w:cs="仿宋"/>
          <w:sz w:val="28"/>
          <w:szCs w:val="28"/>
        </w:rPr>
        <w:t>同一内容的不同系列比赛，不累计积分，以最高分值计算。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3.各类科研创新项目研究情况积分如下：</w:t>
      </w:r>
    </w:p>
    <w:tbl>
      <w:tblPr>
        <w:tblStyle w:val="6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2933"/>
        <w:gridCol w:w="2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666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类别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主持人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其他团队成员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66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国家级项目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60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66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省</w:t>
            </w:r>
            <w:r>
              <w:rPr>
                <w:rFonts w:hint="eastAsia" w:ascii="仿宋" w:hAnsi="仿宋" w:eastAsia="仿宋" w:cs="仿宋"/>
              </w:rPr>
              <w:t>部</w:t>
            </w:r>
            <w:r>
              <w:rPr>
                <w:rFonts w:ascii="仿宋" w:hAnsi="仿宋" w:eastAsia="仿宋" w:cs="仿宋"/>
              </w:rPr>
              <w:t>级项目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66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校级</w:t>
            </w:r>
            <w:r>
              <w:rPr>
                <w:rFonts w:hint="eastAsia" w:ascii="仿宋" w:hAnsi="仿宋" w:eastAsia="仿宋" w:cs="仿宋"/>
              </w:rPr>
              <w:t>重点</w:t>
            </w:r>
            <w:r>
              <w:rPr>
                <w:rFonts w:ascii="仿宋" w:hAnsi="仿宋" w:eastAsia="仿宋" w:cs="仿宋"/>
              </w:rPr>
              <w:t>项目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20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666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校</w:t>
            </w:r>
            <w:r>
              <w:rPr>
                <w:rFonts w:hint="eastAsia" w:ascii="仿宋" w:hAnsi="仿宋" w:eastAsia="仿宋" w:cs="仿宋"/>
              </w:rPr>
              <w:t>级一般项目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</w:rPr>
              <w:t>3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666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校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“</w:t>
            </w:r>
            <w:r>
              <w:rPr>
                <w:rFonts w:ascii="仿宋" w:hAnsi="仿宋" w:eastAsia="仿宋" w:cs="仿宋"/>
              </w:rPr>
              <w:t>䇹政基金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”</w:t>
            </w:r>
            <w:r>
              <w:rPr>
                <w:rFonts w:ascii="仿宋" w:hAnsi="仿宋" w:eastAsia="仿宋" w:cs="仿宋"/>
              </w:rPr>
              <w:t>项目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Times New Roman" w:cs="Times New Roman"/>
              </w:rPr>
              <w:t>40</w:t>
            </w:r>
            <w:r>
              <w:rPr>
                <w:rFonts w:ascii="仿宋" w:hAnsi="仿宋" w:eastAsia="仿宋" w:cs="仿宋"/>
              </w:rPr>
              <w:t>分</w:t>
            </w:r>
          </w:p>
        </w:tc>
        <w:tc>
          <w:tcPr>
            <w:tcW w:w="1667" w:type="pct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widowControl w:val="0"/>
        <w:spacing w:line="360" w:lineRule="auto"/>
        <w:ind w:firstLine="420" w:firstLineChars="200"/>
        <w:rPr>
          <w:rFonts w:ascii="Times New Roman"/>
        </w:rPr>
      </w:pP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同一科研课题申请多个项目的，不累计积分，以最高分值算。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五、补充说明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1.</w:t>
      </w:r>
      <w:r>
        <w:rPr>
          <w:rFonts w:ascii="仿宋" w:hAnsi="仿宋" w:eastAsia="仿宋" w:cs="仿宋"/>
          <w:sz w:val="28"/>
          <w:szCs w:val="28"/>
        </w:rPr>
        <w:t>同一学年内，国家奖学金和“纺织之光”奖学金不可兼得；</w:t>
      </w:r>
    </w:p>
    <w:p>
      <w:pPr>
        <w:widowControl w:val="0"/>
        <w:spacing w:line="360" w:lineRule="auto"/>
        <w:ind w:firstLine="52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6"/>
          <w:szCs w:val="26"/>
        </w:rPr>
        <w:t>2.</w:t>
      </w:r>
      <w:r>
        <w:rPr>
          <w:rFonts w:ascii="仿宋" w:hAnsi="仿宋" w:eastAsia="仿宋" w:cs="仿宋"/>
          <w:sz w:val="28"/>
          <w:szCs w:val="28"/>
        </w:rPr>
        <w:t>同一学年内，正雄奖学金、捷讯励志奖学金、美麟奖学金</w:t>
      </w:r>
      <w:r>
        <w:rPr>
          <w:rFonts w:hint="eastAsia" w:ascii="仿宋" w:hAnsi="仿宋" w:eastAsia="仿宋" w:cs="仿宋"/>
          <w:sz w:val="28"/>
          <w:szCs w:val="28"/>
        </w:rPr>
        <w:t>、苏美达奖学金、曼夕奖学金</w:t>
      </w:r>
      <w:r>
        <w:rPr>
          <w:rFonts w:ascii="仿宋" w:hAnsi="仿宋" w:eastAsia="仿宋" w:cs="仿宋"/>
          <w:sz w:val="28"/>
          <w:szCs w:val="28"/>
        </w:rPr>
        <w:t>不可兼得。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六、奖学金评定流程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1.由符合奖学金评定要求的同学主动申请，在截止日期之前提交相关申请及证明材料，超过申请截止日期提交的材料一律无效。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2.由学院奖学金审核小组严格按照本《细则》进行材料审核和分数核算，并向评审工作组提交初步审核名单。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3.由学院奖学金评审工作组进行评审。</w:t>
      </w:r>
    </w:p>
    <w:p>
      <w:pPr>
        <w:widowControl w:val="0"/>
        <w:spacing w:line="360" w:lineRule="auto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4.国家奖学金、“纺织之光”奖学金初评结果在学院网站公示五日，公示无异议后上报，经上级评审同意后确定最终获奖名单。</w:t>
      </w:r>
      <w:r>
        <w:rPr>
          <w:rFonts w:hint="eastAsia" w:ascii="仿宋" w:hAnsi="仿宋" w:eastAsia="仿宋" w:cs="仿宋"/>
          <w:sz w:val="28"/>
          <w:szCs w:val="28"/>
        </w:rPr>
        <w:t>其余</w:t>
      </w:r>
      <w:r>
        <w:rPr>
          <w:rFonts w:ascii="仿宋" w:hAnsi="仿宋" w:eastAsia="仿宋" w:cs="仿宋"/>
          <w:sz w:val="28"/>
          <w:szCs w:val="28"/>
        </w:rPr>
        <w:t>捐赠奖学金初评结果报捐赠方审核，审核通过后在学院网站公示五日，公示无异议后确定正式获奖名单。</w:t>
      </w:r>
    </w:p>
    <w:p>
      <w:pPr>
        <w:widowControl w:val="0"/>
        <w:spacing w:line="360" w:lineRule="auto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七、其他</w:t>
      </w:r>
    </w:p>
    <w:p>
      <w:pPr>
        <w:widowControl w:val="0"/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本细则自颁布之日起开始实施，由纺织与服装工程学院负责解释。</w:t>
      </w:r>
    </w:p>
    <w:p>
      <w:pPr>
        <w:widowControl w:val="0"/>
        <w:spacing w:line="360" w:lineRule="auto"/>
        <w:ind w:firstLine="420" w:firstLineChars="200"/>
        <w:jc w:val="both"/>
        <w:rPr>
          <w:rFonts w:ascii="Times New Roman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ascii="Times New Roman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ascii="Times New Roman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ascii="Times New Roman"/>
        </w:rPr>
      </w:pPr>
    </w:p>
    <w:p>
      <w:pPr>
        <w:widowControl w:val="0"/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苏州大学纺织与服装工程学院</w:t>
      </w:r>
    </w:p>
    <w:p>
      <w:pPr>
        <w:widowControl w:val="0"/>
        <w:spacing w:line="360" w:lineRule="auto"/>
        <w:ind w:right="56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</w:rPr>
        <w:t>11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71" w:right="1559" w:bottom="1531" w:left="1559" w:header="851" w:footer="89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007403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625955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evenAndOddHeaders w:val="1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476968"/>
    <w:rsid w:val="00081717"/>
    <w:rsid w:val="0011640D"/>
    <w:rsid w:val="002C4C1E"/>
    <w:rsid w:val="0033572E"/>
    <w:rsid w:val="003523FC"/>
    <w:rsid w:val="00461C2C"/>
    <w:rsid w:val="00476968"/>
    <w:rsid w:val="005278D6"/>
    <w:rsid w:val="0054674F"/>
    <w:rsid w:val="00724A00"/>
    <w:rsid w:val="007F325E"/>
    <w:rsid w:val="0086140B"/>
    <w:rsid w:val="00864586"/>
    <w:rsid w:val="009E0D70"/>
    <w:rsid w:val="00AB15A5"/>
    <w:rsid w:val="00AD704B"/>
    <w:rsid w:val="00C66272"/>
    <w:rsid w:val="00CD4A0C"/>
    <w:rsid w:val="00D03407"/>
    <w:rsid w:val="00D33F3E"/>
    <w:rsid w:val="00E41AE8"/>
    <w:rsid w:val="00F50C5B"/>
    <w:rsid w:val="00F94454"/>
    <w:rsid w:val="00FF083B"/>
    <w:rsid w:val="033F2B07"/>
    <w:rsid w:val="3EDA2814"/>
    <w:rsid w:val="588277E8"/>
    <w:rsid w:val="7DF37D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558</Words>
  <Characters>3184</Characters>
  <Lines>26</Lines>
  <Paragraphs>7</Paragraphs>
  <TotalTime>3</TotalTime>
  <ScaleCrop>false</ScaleCrop>
  <LinksUpToDate>false</LinksUpToDate>
  <CharactersWithSpaces>3735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2021-09-28T10:14:00Z</dcterms:created>
  <dc:creator>魏 兴</dc:creator>
  <cp:lastModifiedBy>斐</cp:lastModifiedBy>
  <dcterms:modified xsi:type="dcterms:W3CDTF">2021-11-04T06:41:30Z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2021-10-22T15:39:49Z</vt:filetime>
  </property>
  <property fmtid="{D5CDD505-2E9C-101B-9397-08002B2CF9AE}" pid="4" name="KSOProductBuildVer">
    <vt:lpwstr>2052-11.1.0.10938</vt:lpwstr>
  </property>
  <property fmtid="{D5CDD505-2E9C-101B-9397-08002B2CF9AE}" pid="5" name="ICV">
    <vt:lpwstr>ED76E9DF2F864228B7552CB2D6D0D990</vt:lpwstr>
  </property>
</Properties>
</file>